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RESOLUÇÃO Nº </w:t>
      </w:r>
      <w:r>
        <w:rPr>
          <w:rFonts w:eastAsia="Calibri" w:cs="Arial"/>
          <w:b/>
          <w:bCs/>
          <w:sz w:val="24"/>
          <w:szCs w:val="24"/>
        </w:rPr>
        <w:t>01</w:t>
      </w:r>
      <w:r>
        <w:rPr>
          <w:rFonts w:eastAsia="Calibri" w:cs="Arial"/>
          <w:b/>
          <w:bCs/>
          <w:color w:val="000000" w:themeColor="text1"/>
          <w:sz w:val="24"/>
          <w:szCs w:val="24"/>
        </w:rPr>
        <w:t>/CONPRESP/2023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Cs/>
          <w:color w:val="000000" w:themeColor="text1"/>
          <w:sz w:val="24"/>
          <w:szCs w:val="24"/>
        </w:rPr>
        <w:t xml:space="preserve">O Conselho Municipal de Preservação do Patrimônio Histórico, Cultural e Ambiental da Cidade de São Paulo – CONPRESP, no uso de suas atribuições legais e nos termos da Lei n° 10.032, de 27 de </w:t>
      </w:r>
      <w:r>
        <w:rPr>
          <w:rFonts w:eastAsia="Calibri" w:cs="Arial"/>
          <w:bCs/>
          <w:sz w:val="24"/>
          <w:szCs w:val="24"/>
        </w:rPr>
        <w:t xml:space="preserve">dezembro de 1985, com as alterações posteriores, conforme decisão dos Conselheiros presentes à </w:t>
      </w:r>
      <w:r>
        <w:rPr>
          <w:rFonts w:eastAsia="Calibri" w:cs="Arial"/>
          <w:b/>
          <w:bCs/>
          <w:sz w:val="24"/>
          <w:szCs w:val="24"/>
        </w:rPr>
        <w:t>769ª Reunião Ordinária</w:t>
      </w:r>
      <w:r>
        <w:rPr>
          <w:rFonts w:eastAsia="Calibri" w:cs="Arial"/>
          <w:bCs/>
          <w:sz w:val="24"/>
          <w:szCs w:val="24"/>
        </w:rPr>
        <w:t xml:space="preserve"> realizada em </w:t>
      </w:r>
      <w:r>
        <w:rPr>
          <w:rFonts w:eastAsia="Calibri" w:cs="Arial"/>
          <w:b/>
          <w:bCs/>
          <w:sz w:val="24"/>
          <w:szCs w:val="24"/>
        </w:rPr>
        <w:t>16 de janeiro de 2023</w:t>
      </w:r>
      <w:r>
        <w:rPr>
          <w:rFonts w:eastAsia="Calibri" w:cs="Arial"/>
          <w:bCs/>
          <w:sz w:val="24"/>
          <w:szCs w:val="24"/>
        </w:rPr>
        <w:t>, e</w:t>
      </w:r>
    </w:p>
    <w:p>
      <w:pPr>
        <w:pStyle w:val="Normal"/>
        <w:spacing w:lineRule="auto" w:line="276"/>
        <w:jc w:val="both"/>
        <w:rPr>
          <w:rFonts w:ascii="Calibri" w:hAnsi="Calibri" w:eastAsia="Calibri" w:cs="Arial"/>
          <w:b/>
          <w:b/>
          <w:bCs/>
          <w:color w:val="000000" w:themeColor="text1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CONSIDERANDO </w:t>
      </w:r>
      <w:r>
        <w:rPr>
          <w:rFonts w:eastAsia="Calibri" w:cs="Arial"/>
          <w:color w:val="000000" w:themeColor="text1"/>
          <w:sz w:val="24"/>
          <w:szCs w:val="24"/>
        </w:rPr>
        <w:t xml:space="preserve">o conjunto do antigo lar Anália Franco na Água Rasa como um espaço significativo relacionado à história da Associação Feminina Beneficente e Instructiva; Considerando que Associação Feminina Beneficente e Instructiva construiu nova sede no local, ampliando suas instalações que ocupavam na década de 1910 o edifício da antiga sede do Sítio Capão, bem tombado através da Resolução SC-18, de 14/08/1984 e ex-officio pela Resolução 05/Conpresp/1991;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CONSIDERANDO</w:t>
      </w:r>
      <w:r>
        <w:rPr>
          <w:rFonts w:eastAsia="Calibri" w:cs="Arial"/>
          <w:color w:val="000000" w:themeColor="text1"/>
          <w:sz w:val="24"/>
          <w:szCs w:val="24"/>
        </w:rPr>
        <w:t xml:space="preserve"> que o conjunto do antigo lar Anália Franco, com seu novo edifício sede construído na primeira metade do século XX, constituiu-se como uma referência na paisagem, na história e no desenvolvimento urbano da Vila Regente Feijó e do Jardim Anália Franco;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CONSIDERANDO</w:t>
      </w:r>
      <w:r>
        <w:rPr>
          <w:rFonts w:eastAsia="Calibri" w:cs="Arial"/>
          <w:color w:val="000000" w:themeColor="text1"/>
          <w:sz w:val="24"/>
          <w:szCs w:val="24"/>
        </w:rPr>
        <w:t xml:space="preserve"> que o edifício sede se mantém em destaque na paisagem local, ocupando o topo da colina, preservadas sua relação com a topografia da área, sua situação urbana e sua arquitetura escolar, de reconhecido valor para a região e para a cidade de São Paulo;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CONSIDERANDO</w:t>
      </w:r>
      <w:r>
        <w:rPr>
          <w:rFonts w:eastAsia="Calibri" w:cs="Arial"/>
          <w:color w:val="000000" w:themeColor="text1"/>
          <w:sz w:val="24"/>
          <w:szCs w:val="24"/>
        </w:rPr>
        <w:t xml:space="preserve"> o contido nos processos 6025.2022/0003960-3 e 6025.2022/0004341-4 </w:t>
      </w:r>
    </w:p>
    <w:p>
      <w:pPr>
        <w:pStyle w:val="Normal"/>
        <w:spacing w:lineRule="auto" w:line="276"/>
        <w:jc w:val="both"/>
        <w:rPr>
          <w:rFonts w:eastAsia="Calibri" w:cs="Arial"/>
          <w:b/>
          <w:b/>
          <w:bCs/>
          <w:color w:val="000000" w:themeColor="text1"/>
        </w:rPr>
      </w:pPr>
      <w:r>
        <w:rPr>
          <w:rFonts w:eastAsia="Calibri" w:cs="Arial"/>
          <w:b/>
          <w:bCs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RESOLVE:</w:t>
      </w:r>
      <w:r>
        <w:rPr>
          <w:rFonts w:eastAsia="Calibri" w:cs="Arial"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1º</w:t>
      </w:r>
      <w:r>
        <w:rPr>
          <w:rFonts w:eastAsia="Calibri" w:cs="Arial"/>
          <w:color w:val="000000" w:themeColor="text1"/>
          <w:sz w:val="24"/>
          <w:szCs w:val="24"/>
        </w:rPr>
        <w:t xml:space="preserve"> - </w:t>
      </w:r>
      <w:r>
        <w:rPr>
          <w:rFonts w:eastAsia="Calibri" w:cs="Arial"/>
          <w:b/>
          <w:bCs/>
          <w:color w:val="000000" w:themeColor="text1"/>
          <w:sz w:val="24"/>
          <w:szCs w:val="24"/>
        </w:rPr>
        <w:t>ABRIR PROCESSO DE TOMBAMENTO</w:t>
      </w:r>
      <w:r>
        <w:rPr>
          <w:rFonts w:eastAsia="Calibri" w:cs="Arial"/>
          <w:color w:val="000000" w:themeColor="text1"/>
          <w:sz w:val="24"/>
          <w:szCs w:val="24"/>
        </w:rPr>
        <w:t xml:space="preserve"> do imóvel situado à Av. Regente Feijó, 1295 (Setor 054 - Quadra 260 - Lote 0501-1 do Cadastro de Contribuintes da Secretaria Municipal da Fazenda) no distrito de Vila Formosa, objeto da Matrícula nº 218.965 do 9º Oficial de Registro de Imóveis da Capital.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Artigo 2º </w:t>
      </w:r>
      <w:r>
        <w:rPr>
          <w:rFonts w:eastAsia="Calibri" w:cs="Arial"/>
          <w:color w:val="000000" w:themeColor="text1"/>
          <w:sz w:val="24"/>
          <w:szCs w:val="24"/>
        </w:rPr>
        <w:t xml:space="preserve">- Deverão ser preservadas as características arquitetônicas da edificação principal (edifício sede), bem como sua relação com as áreas livres, levando em consideração a manutenção das visuais do edifício e da sua ambiência.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Artigo 3º </w:t>
      </w:r>
      <w:r>
        <w:rPr>
          <w:rFonts w:eastAsia="Calibri" w:cs="Arial"/>
          <w:color w:val="000000" w:themeColor="text1"/>
          <w:sz w:val="24"/>
          <w:szCs w:val="24"/>
        </w:rPr>
        <w:t>- Qualquer projeto de intervenção no imóvel, nas áreas livres e construídas, deverão ser objeto de análise e deliberação pelo DPH/CONPRESP.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 xml:space="preserve">Parágrafo Único </w:t>
      </w:r>
      <w:r>
        <w:rPr>
          <w:rFonts w:eastAsia="Calibri" w:cs="Arial"/>
          <w:color w:val="000000" w:themeColor="text1"/>
          <w:sz w:val="24"/>
          <w:szCs w:val="24"/>
        </w:rPr>
        <w:t xml:space="preserve">- As Intervenções no edifício anexo que não impliquem em alteração de volumetria ou aumento de área construída ficam dispensadas de análise e deliberação pelo DPH/CONPRESP. </w:t>
      </w:r>
    </w:p>
    <w:p>
      <w:pPr>
        <w:pStyle w:val="Normal"/>
        <w:spacing w:lineRule="auto" w:line="276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</w:r>
    </w:p>
    <w:p>
      <w:pPr>
        <w:pStyle w:val="Normal"/>
        <w:spacing w:lineRule="auto" w:line="276" w:before="0" w:after="160"/>
        <w:jc w:val="both"/>
        <w:rPr>
          <w:rFonts w:ascii="Calibri" w:hAnsi="Calibri"/>
          <w:sz w:val="24"/>
          <w:szCs w:val="24"/>
        </w:rPr>
      </w:pPr>
      <w:r>
        <w:rPr>
          <w:rFonts w:eastAsia="Calibri" w:cs="Arial"/>
          <w:b/>
          <w:bCs/>
          <w:color w:val="000000" w:themeColor="text1"/>
          <w:sz w:val="24"/>
          <w:szCs w:val="24"/>
        </w:rPr>
        <w:t>Artigo 4º</w:t>
      </w:r>
      <w:r>
        <w:rPr>
          <w:rFonts w:eastAsia="Calibri" w:cs="Arial"/>
          <w:color w:val="000000" w:themeColor="text1"/>
          <w:sz w:val="24"/>
          <w:szCs w:val="24"/>
        </w:rPr>
        <w:t xml:space="preserve"> - Esta Resolução entrará em vigor na data da sua publicação no Diário Oficial da Cidade, revogadas as disposições contrárias. </w:t>
      </w:r>
    </w:p>
    <w:p>
      <w:pPr>
        <w:pStyle w:val="Normal"/>
        <w:spacing w:lineRule="auto" w:line="276" w:before="0" w:after="16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both"/>
        <w:rPr>
          <w:sz w:val="22"/>
          <w:szCs w:val="22"/>
        </w:rPr>
      </w:pPr>
      <w:r>
        <w:rPr>
          <w:rFonts w:eastAsia="Calibri" w:cs="Calibri"/>
          <w:color w:val="000000" w:themeColor="text1"/>
          <w:sz w:val="22"/>
          <w:szCs w:val="22"/>
        </w:rPr>
        <w:t xml:space="preserve">DOC </w:t>
      </w:r>
      <w:r>
        <w:rPr>
          <w:rFonts w:eastAsia="Calibri" w:cs="Calibri"/>
          <w:color w:val="000000" w:themeColor="text1"/>
          <w:sz w:val="22"/>
          <w:szCs w:val="22"/>
        </w:rPr>
        <w:t>19/01/2023</w:t>
      </w:r>
      <w:r>
        <w:rPr>
          <w:rFonts w:eastAsia="Calibri" w:cs="Calibri"/>
          <w:color w:val="000000" w:themeColor="text1"/>
          <w:sz w:val="22"/>
          <w:szCs w:val="22"/>
        </w:rPr>
        <w:t xml:space="preserve"> – P. </w:t>
      </w:r>
      <w:r>
        <w:rPr>
          <w:rFonts w:eastAsia="Calibri" w:cs="Calibri"/>
          <w:color w:val="000000" w:themeColor="text1"/>
          <w:sz w:val="22"/>
          <w:szCs w:val="22"/>
        </w:rPr>
        <w:t>13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mc:AlternateContent>
        <mc:Choice Requires="wps">
          <w:drawing>
            <wp:anchor behindDoc="1" distT="0" distB="0" distL="89535" distR="89535" simplePos="0" locked="0" layoutInCell="0" allowOverlap="1" relativeHeight="4">
              <wp:simplePos x="0" y="0"/>
              <wp:positionH relativeFrom="page">
                <wp:posOffset>716915</wp:posOffset>
              </wp:positionH>
              <wp:positionV relativeFrom="paragraph">
                <wp:posOffset>-37465</wp:posOffset>
              </wp:positionV>
              <wp:extent cx="720090" cy="732790"/>
              <wp:effectExtent l="0" t="0" r="0" b="0"/>
              <wp:wrapTopAndBottom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280" cy="73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Arial" w:hAnsi="Arial"/>
                              <w:b/>
                              <w:b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16280" cy="7334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733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6.45pt;margin-top:-2.95pt;width:56.6pt;height:57.6pt;mso-wrap-style:none;v-text-anchor:middle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16280" cy="7334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733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rFonts w:ascii="Arial" w:hAnsi="Arial"/>
        <w:b/>
        <w:sz w:val="22"/>
        <w:szCs w:val="22"/>
      </w:rPr>
      <w:t>PREFEITURA DO MUNICÍPIO DE SÃO PAULO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  <w:p>
    <w:pPr>
      <w:pStyle w:val="Cabealho"/>
      <w:jc w:val="center"/>
      <w:rPr>
        <w:rFonts w:ascii="Arial" w:hAnsi="Arial"/>
        <w:b/>
        <w:b/>
        <w:sz w:val="22"/>
        <w:szCs w:val="22"/>
      </w:rPr>
    </w:pPr>
    <w:r>
      <w:rPr>
        <w:rFonts w:ascii="Arial" w:hAnsi="Arial"/>
        <w:b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41135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73937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411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73937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707C-1ABE-4FCE-9082-94518C1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LibreOffice/7.2.5.2$Windows_X86_64 LibreOffice_project/499f9727c189e6ef3471021d6132d4c694f357e5</Application>
  <AppVersion>15.0000</AppVersion>
  <Pages>2</Pages>
  <Words>412</Words>
  <Characters>2250</Characters>
  <CharactersWithSpaces>2656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2022-09-26T21:12:00Z</dcterms:created>
  <dc:creator>Fátima Martin Rodrigues Ferreira Antunes</dc:creator>
  <dc:description/>
  <dc:language>pt-BR</dc:language>
  <cp:lastModifiedBy/>
  <cp:lastPrinted>2022-11-18T20:40:00Z</cp:lastPrinted>
  <dcterms:modified xsi:type="dcterms:W3CDTF">2023-01-20T10:08:02Z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